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98"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8"/>
        <w:gridCol w:w="2610"/>
        <w:gridCol w:w="1440"/>
        <w:gridCol w:w="1320"/>
        <w:gridCol w:w="1200"/>
        <w:gridCol w:w="1440"/>
        <w:gridCol w:w="1530"/>
        <w:gridCol w:w="1200"/>
        <w:gridCol w:w="1980"/>
      </w:tblGrid>
      <w:tr w:rsidR="00471048" w:rsidTr="00A60873">
        <w:trPr>
          <w:cantSplit/>
          <w:trHeight w:val="285"/>
        </w:trPr>
        <w:tc>
          <w:tcPr>
            <w:tcW w:w="2178" w:type="dxa"/>
            <w:vMerge w:val="restart"/>
            <w:shd w:val="clear" w:color="auto" w:fill="000000"/>
            <w:vAlign w:val="center"/>
          </w:tcPr>
          <w:p w:rsidR="00471048" w:rsidRDefault="00471048" w:rsidP="00A60873">
            <w:pPr>
              <w:jc w:val="center"/>
              <w:rPr>
                <w:rFonts w:ascii="Rockwell" w:hAnsi="Rockwell"/>
                <w:b/>
                <w:color w:val="FFFFFF"/>
                <w:sz w:val="28"/>
                <w:szCs w:val="28"/>
              </w:rPr>
            </w:pPr>
            <w:r>
              <w:rPr>
                <w:rFonts w:ascii="Rockwell" w:hAnsi="Rockwell"/>
                <w:b/>
                <w:color w:val="FFFFFF"/>
                <w:sz w:val="28"/>
                <w:szCs w:val="28"/>
              </w:rPr>
              <w:t>Goal</w:t>
            </w:r>
          </w:p>
        </w:tc>
        <w:tc>
          <w:tcPr>
            <w:tcW w:w="2610" w:type="dxa"/>
            <w:vMerge w:val="restart"/>
            <w:vAlign w:val="center"/>
          </w:tcPr>
          <w:p w:rsidR="00471048" w:rsidRDefault="00471048" w:rsidP="00A60873">
            <w:pPr>
              <w:jc w:val="center"/>
              <w:rPr>
                <w:rFonts w:ascii="Rockwell" w:hAnsi="Rockwell"/>
                <w:b/>
              </w:rPr>
            </w:pPr>
            <w:r>
              <w:rPr>
                <w:rFonts w:ascii="Rockwell" w:hAnsi="Rockwell"/>
                <w:b/>
              </w:rPr>
              <w:t>Steps to Reach Goal</w:t>
            </w:r>
          </w:p>
        </w:tc>
        <w:tc>
          <w:tcPr>
            <w:tcW w:w="5400" w:type="dxa"/>
            <w:gridSpan w:val="4"/>
            <w:vAlign w:val="center"/>
          </w:tcPr>
          <w:p w:rsidR="00471048" w:rsidRDefault="00471048" w:rsidP="00A60873">
            <w:pPr>
              <w:jc w:val="center"/>
              <w:rPr>
                <w:rFonts w:ascii="Rockwell" w:hAnsi="Rockwell"/>
                <w:b/>
              </w:rPr>
            </w:pPr>
            <w:r>
              <w:rPr>
                <w:rFonts w:ascii="Rockwell" w:hAnsi="Rockwell"/>
                <w:b/>
              </w:rPr>
              <w:t>Data Collection</w:t>
            </w:r>
          </w:p>
        </w:tc>
        <w:tc>
          <w:tcPr>
            <w:tcW w:w="1530" w:type="dxa"/>
            <w:vMerge w:val="restart"/>
            <w:vAlign w:val="center"/>
          </w:tcPr>
          <w:p w:rsidR="00471048" w:rsidRDefault="00471048" w:rsidP="00A60873">
            <w:pPr>
              <w:jc w:val="center"/>
              <w:rPr>
                <w:rFonts w:ascii="Rockwell" w:hAnsi="Rockwell"/>
                <w:b/>
              </w:rPr>
            </w:pPr>
            <w:r>
              <w:rPr>
                <w:rFonts w:ascii="Rockwell" w:hAnsi="Rockwell"/>
                <w:b/>
              </w:rPr>
              <w:t>How Will Data Be Analyzed?</w:t>
            </w:r>
          </w:p>
        </w:tc>
        <w:tc>
          <w:tcPr>
            <w:tcW w:w="1200" w:type="dxa"/>
            <w:vMerge w:val="restart"/>
            <w:vAlign w:val="center"/>
          </w:tcPr>
          <w:p w:rsidR="00471048" w:rsidRDefault="00471048" w:rsidP="00A60873">
            <w:pPr>
              <w:jc w:val="center"/>
              <w:rPr>
                <w:rFonts w:ascii="Rockwell" w:hAnsi="Rockwell"/>
                <w:b/>
              </w:rPr>
            </w:pPr>
            <w:r>
              <w:rPr>
                <w:rFonts w:ascii="Rockwell" w:hAnsi="Rockwell"/>
                <w:b/>
              </w:rPr>
              <w:t>How Will Data Be Reported?</w:t>
            </w:r>
          </w:p>
        </w:tc>
        <w:tc>
          <w:tcPr>
            <w:tcW w:w="1980" w:type="dxa"/>
          </w:tcPr>
          <w:p w:rsidR="00471048" w:rsidRDefault="00471048" w:rsidP="00A60873">
            <w:pPr>
              <w:jc w:val="center"/>
              <w:rPr>
                <w:rFonts w:ascii="Rockwell" w:hAnsi="Rockwell"/>
                <w:b/>
                <w:color w:val="FF0000"/>
              </w:rPr>
            </w:pPr>
            <w:r>
              <w:rPr>
                <w:rFonts w:ascii="Rockwell" w:hAnsi="Rockwell"/>
                <w:b/>
                <w:color w:val="FF0000"/>
              </w:rPr>
              <w:t>May 2013</w:t>
            </w:r>
          </w:p>
          <w:p w:rsidR="00471048" w:rsidRPr="0001146D" w:rsidRDefault="00471048" w:rsidP="00A60873">
            <w:pPr>
              <w:jc w:val="center"/>
              <w:rPr>
                <w:rFonts w:ascii="Rockwell" w:hAnsi="Rockwell"/>
                <w:b/>
                <w:color w:val="FF0000"/>
              </w:rPr>
            </w:pPr>
            <w:r w:rsidRPr="0001146D">
              <w:rPr>
                <w:rFonts w:ascii="Rockwell" w:hAnsi="Rockwell"/>
                <w:b/>
                <w:color w:val="FF0000"/>
              </w:rPr>
              <w:t>Status Report</w:t>
            </w:r>
          </w:p>
        </w:tc>
      </w:tr>
      <w:tr w:rsidR="00471048" w:rsidTr="00A60873">
        <w:trPr>
          <w:cantSplit/>
          <w:trHeight w:val="935"/>
        </w:trPr>
        <w:tc>
          <w:tcPr>
            <w:tcW w:w="2178" w:type="dxa"/>
            <w:vMerge/>
            <w:shd w:val="clear" w:color="auto" w:fill="000000"/>
            <w:vAlign w:val="center"/>
          </w:tcPr>
          <w:p w:rsidR="00471048" w:rsidRDefault="00471048" w:rsidP="00A60873">
            <w:pPr>
              <w:jc w:val="center"/>
              <w:rPr>
                <w:rFonts w:ascii="Rockwell" w:hAnsi="Rockwell"/>
                <w:color w:val="FFFFFF"/>
                <w:sz w:val="20"/>
                <w:szCs w:val="20"/>
              </w:rPr>
            </w:pPr>
          </w:p>
        </w:tc>
        <w:tc>
          <w:tcPr>
            <w:tcW w:w="2610" w:type="dxa"/>
            <w:vMerge/>
            <w:vAlign w:val="center"/>
          </w:tcPr>
          <w:p w:rsidR="00471048" w:rsidRDefault="00471048" w:rsidP="00A60873">
            <w:pPr>
              <w:jc w:val="center"/>
              <w:rPr>
                <w:rFonts w:ascii="Rockwell" w:hAnsi="Rockwell"/>
                <w:sz w:val="20"/>
                <w:szCs w:val="20"/>
              </w:rPr>
            </w:pPr>
          </w:p>
        </w:tc>
        <w:tc>
          <w:tcPr>
            <w:tcW w:w="1440" w:type="dxa"/>
            <w:vAlign w:val="center"/>
          </w:tcPr>
          <w:p w:rsidR="00471048" w:rsidRDefault="00471048" w:rsidP="00A60873">
            <w:pPr>
              <w:jc w:val="center"/>
              <w:rPr>
                <w:rFonts w:ascii="Rockwell" w:hAnsi="Rockwell"/>
                <w:sz w:val="20"/>
                <w:szCs w:val="20"/>
              </w:rPr>
            </w:pPr>
            <w:r>
              <w:rPr>
                <w:rFonts w:ascii="Rockwell" w:hAnsi="Rockwell"/>
                <w:sz w:val="20"/>
                <w:szCs w:val="20"/>
              </w:rPr>
              <w:t>What?</w:t>
            </w:r>
          </w:p>
        </w:tc>
        <w:tc>
          <w:tcPr>
            <w:tcW w:w="1320" w:type="dxa"/>
            <w:vAlign w:val="center"/>
          </w:tcPr>
          <w:p w:rsidR="00471048" w:rsidRDefault="00471048" w:rsidP="00A60873">
            <w:pPr>
              <w:jc w:val="center"/>
              <w:rPr>
                <w:rFonts w:ascii="Rockwell" w:hAnsi="Rockwell"/>
                <w:sz w:val="20"/>
                <w:szCs w:val="20"/>
              </w:rPr>
            </w:pPr>
            <w:r>
              <w:rPr>
                <w:rFonts w:ascii="Rockwell" w:hAnsi="Rockwell"/>
                <w:sz w:val="20"/>
                <w:szCs w:val="20"/>
              </w:rPr>
              <w:t>How?</w:t>
            </w:r>
          </w:p>
        </w:tc>
        <w:tc>
          <w:tcPr>
            <w:tcW w:w="1200" w:type="dxa"/>
            <w:vAlign w:val="center"/>
          </w:tcPr>
          <w:p w:rsidR="00471048" w:rsidRDefault="00471048" w:rsidP="00A60873">
            <w:pPr>
              <w:jc w:val="center"/>
              <w:rPr>
                <w:rFonts w:ascii="Rockwell" w:hAnsi="Rockwell"/>
                <w:sz w:val="20"/>
                <w:szCs w:val="20"/>
              </w:rPr>
            </w:pPr>
            <w:r>
              <w:rPr>
                <w:rFonts w:ascii="Rockwell" w:hAnsi="Rockwell"/>
                <w:sz w:val="20"/>
                <w:szCs w:val="20"/>
              </w:rPr>
              <w:t>When?</w:t>
            </w:r>
          </w:p>
        </w:tc>
        <w:tc>
          <w:tcPr>
            <w:tcW w:w="1440" w:type="dxa"/>
            <w:vAlign w:val="center"/>
          </w:tcPr>
          <w:p w:rsidR="00471048" w:rsidRDefault="00471048" w:rsidP="00A60873">
            <w:pPr>
              <w:jc w:val="center"/>
              <w:rPr>
                <w:rFonts w:ascii="Rockwell" w:hAnsi="Rockwell"/>
                <w:sz w:val="20"/>
                <w:szCs w:val="20"/>
              </w:rPr>
            </w:pPr>
            <w:r>
              <w:rPr>
                <w:rFonts w:ascii="Rockwell" w:hAnsi="Rockwell"/>
                <w:sz w:val="20"/>
                <w:szCs w:val="20"/>
              </w:rPr>
              <w:t>By Whom?</w:t>
            </w:r>
          </w:p>
        </w:tc>
        <w:tc>
          <w:tcPr>
            <w:tcW w:w="1530" w:type="dxa"/>
            <w:vMerge/>
            <w:vAlign w:val="center"/>
          </w:tcPr>
          <w:p w:rsidR="00471048" w:rsidRDefault="00471048" w:rsidP="00A60873">
            <w:pPr>
              <w:jc w:val="center"/>
              <w:rPr>
                <w:rFonts w:ascii="Rockwell" w:hAnsi="Rockwell"/>
                <w:sz w:val="20"/>
                <w:szCs w:val="20"/>
              </w:rPr>
            </w:pPr>
          </w:p>
        </w:tc>
        <w:tc>
          <w:tcPr>
            <w:tcW w:w="1200" w:type="dxa"/>
            <w:vMerge/>
            <w:vAlign w:val="center"/>
          </w:tcPr>
          <w:p w:rsidR="00471048" w:rsidRDefault="00471048" w:rsidP="00A60873">
            <w:pPr>
              <w:jc w:val="center"/>
              <w:rPr>
                <w:rFonts w:ascii="Rockwell" w:hAnsi="Rockwell"/>
                <w:sz w:val="20"/>
                <w:szCs w:val="20"/>
              </w:rPr>
            </w:pPr>
          </w:p>
        </w:tc>
        <w:tc>
          <w:tcPr>
            <w:tcW w:w="1980" w:type="dxa"/>
          </w:tcPr>
          <w:p w:rsidR="00471048" w:rsidRPr="0001146D" w:rsidRDefault="00471048" w:rsidP="00A60873">
            <w:pPr>
              <w:jc w:val="center"/>
              <w:rPr>
                <w:rFonts w:ascii="Rockwell" w:hAnsi="Rockwell"/>
                <w:color w:val="FF0000"/>
                <w:sz w:val="20"/>
                <w:szCs w:val="20"/>
              </w:rPr>
            </w:pPr>
          </w:p>
        </w:tc>
      </w:tr>
      <w:tr w:rsidR="00471048" w:rsidTr="00A60873">
        <w:trPr>
          <w:cantSplit/>
          <w:trHeight w:val="1880"/>
        </w:trPr>
        <w:tc>
          <w:tcPr>
            <w:tcW w:w="2178" w:type="dxa"/>
            <w:vMerge w:val="restart"/>
            <w:vAlign w:val="center"/>
          </w:tcPr>
          <w:p w:rsidR="00471048" w:rsidRPr="004E4DE2" w:rsidRDefault="00471048" w:rsidP="00A60873">
            <w:pPr>
              <w:jc w:val="center"/>
              <w:rPr>
                <w:i/>
                <w:sz w:val="20"/>
                <w:szCs w:val="20"/>
              </w:rPr>
            </w:pPr>
            <w:r w:rsidRPr="004E4DE2">
              <w:rPr>
                <w:rFonts w:asciiTheme="minorHAnsi" w:hAnsiTheme="minorHAnsi"/>
                <w:i/>
                <w:sz w:val="20"/>
                <w:szCs w:val="20"/>
              </w:rPr>
              <w:t xml:space="preserve">By the end of 2013-14 school </w:t>
            </w:r>
            <w:proofErr w:type="gramStart"/>
            <w:r w:rsidRPr="004E4DE2">
              <w:rPr>
                <w:rFonts w:asciiTheme="minorHAnsi" w:hAnsiTheme="minorHAnsi"/>
                <w:i/>
                <w:sz w:val="20"/>
                <w:szCs w:val="20"/>
              </w:rPr>
              <w:t>year</w:t>
            </w:r>
            <w:proofErr w:type="gramEnd"/>
            <w:r w:rsidRPr="004E4DE2">
              <w:rPr>
                <w:rFonts w:asciiTheme="minorHAnsi" w:hAnsiTheme="minorHAnsi"/>
                <w:i/>
                <w:sz w:val="20"/>
                <w:szCs w:val="20"/>
              </w:rPr>
              <w:t xml:space="preserve"> the average score of the NMLC students in grades 3-8 and 11</w:t>
            </w:r>
            <w:r w:rsidRPr="004E4DE2">
              <w:rPr>
                <w:rFonts w:asciiTheme="minorHAnsi" w:hAnsiTheme="minorHAnsi"/>
                <w:i/>
                <w:sz w:val="20"/>
                <w:szCs w:val="20"/>
                <w:vertAlign w:val="superscript"/>
              </w:rPr>
              <w:t>th</w:t>
            </w:r>
            <w:r w:rsidRPr="004E4DE2">
              <w:rPr>
                <w:rFonts w:asciiTheme="minorHAnsi" w:hAnsiTheme="minorHAnsi"/>
                <w:i/>
                <w:sz w:val="20"/>
                <w:szCs w:val="20"/>
              </w:rPr>
              <w:t xml:space="preserve"> will be at or above the average state proficiency levels in Math, Reading and Writing</w:t>
            </w:r>
            <w:r w:rsidRPr="004E4DE2">
              <w:rPr>
                <w:i/>
                <w:sz w:val="20"/>
                <w:szCs w:val="20"/>
              </w:rPr>
              <w:t>.</w:t>
            </w:r>
          </w:p>
        </w:tc>
        <w:tc>
          <w:tcPr>
            <w:tcW w:w="2610" w:type="dxa"/>
          </w:tcPr>
          <w:p w:rsidR="008D4880" w:rsidRPr="004E4DE2" w:rsidRDefault="008D4880" w:rsidP="008D4880">
            <w:pPr>
              <w:rPr>
                <w:rFonts w:asciiTheme="minorHAnsi" w:hAnsiTheme="minorHAnsi"/>
                <w:i/>
                <w:sz w:val="20"/>
                <w:szCs w:val="20"/>
              </w:rPr>
            </w:pPr>
            <w:r w:rsidRPr="004E4DE2">
              <w:rPr>
                <w:rFonts w:asciiTheme="minorHAnsi" w:hAnsiTheme="minorHAnsi"/>
                <w:i/>
                <w:sz w:val="20"/>
                <w:szCs w:val="20"/>
              </w:rPr>
              <w:t>Provide ISDs with assessment item-writing support that aligns to CCRS and SBAC criteria to guide instruction during implementation</w:t>
            </w:r>
          </w:p>
        </w:tc>
        <w:tc>
          <w:tcPr>
            <w:tcW w:w="1440" w:type="dxa"/>
          </w:tcPr>
          <w:p w:rsidR="00471048" w:rsidRPr="004E4DE2" w:rsidRDefault="008D4880" w:rsidP="00A60873">
            <w:pPr>
              <w:rPr>
                <w:rFonts w:asciiTheme="minorHAnsi" w:hAnsiTheme="minorHAnsi"/>
                <w:sz w:val="20"/>
                <w:szCs w:val="20"/>
              </w:rPr>
            </w:pPr>
            <w:r w:rsidRPr="004E4DE2">
              <w:rPr>
                <w:rFonts w:asciiTheme="minorHAnsi" w:hAnsiTheme="minorHAnsi"/>
                <w:sz w:val="20"/>
                <w:szCs w:val="20"/>
              </w:rPr>
              <w:t>Professional development resources</w:t>
            </w:r>
          </w:p>
        </w:tc>
        <w:tc>
          <w:tcPr>
            <w:tcW w:w="1320" w:type="dxa"/>
          </w:tcPr>
          <w:p w:rsidR="00471048" w:rsidRPr="004E4DE2" w:rsidRDefault="008D4880" w:rsidP="00A60873">
            <w:pPr>
              <w:rPr>
                <w:rFonts w:asciiTheme="minorHAnsi" w:hAnsiTheme="minorHAnsi"/>
                <w:sz w:val="20"/>
                <w:szCs w:val="20"/>
              </w:rPr>
            </w:pPr>
            <w:r w:rsidRPr="004E4DE2">
              <w:rPr>
                <w:rFonts w:asciiTheme="minorHAnsi" w:hAnsiTheme="minorHAnsi"/>
                <w:sz w:val="20"/>
                <w:szCs w:val="20"/>
              </w:rPr>
              <w:t>Compile and organize professional development resources that have been used by our NMLC ELA consultants to train teachers</w:t>
            </w:r>
          </w:p>
        </w:tc>
        <w:tc>
          <w:tcPr>
            <w:tcW w:w="1200" w:type="dxa"/>
          </w:tcPr>
          <w:p w:rsidR="00471048" w:rsidRPr="004E4DE2" w:rsidRDefault="00471048" w:rsidP="00A60873">
            <w:pPr>
              <w:rPr>
                <w:rFonts w:asciiTheme="minorHAnsi" w:hAnsiTheme="minorHAnsi"/>
                <w:sz w:val="20"/>
                <w:szCs w:val="20"/>
              </w:rPr>
            </w:pPr>
            <w:r w:rsidRPr="004E4DE2">
              <w:rPr>
                <w:rFonts w:asciiTheme="minorHAnsi" w:hAnsiTheme="minorHAnsi"/>
                <w:sz w:val="20"/>
                <w:szCs w:val="20"/>
              </w:rPr>
              <w:t>By May 2013</w:t>
            </w:r>
          </w:p>
        </w:tc>
        <w:tc>
          <w:tcPr>
            <w:tcW w:w="1440" w:type="dxa"/>
          </w:tcPr>
          <w:p w:rsidR="00471048" w:rsidRPr="004E4DE2" w:rsidRDefault="004E4DE2" w:rsidP="00A60873">
            <w:pPr>
              <w:rPr>
                <w:rFonts w:asciiTheme="minorHAnsi" w:hAnsiTheme="minorHAnsi"/>
                <w:sz w:val="20"/>
                <w:szCs w:val="20"/>
              </w:rPr>
            </w:pPr>
            <w:r>
              <w:rPr>
                <w:rFonts w:asciiTheme="minorHAnsi" w:hAnsiTheme="minorHAnsi"/>
                <w:sz w:val="20"/>
                <w:szCs w:val="20"/>
              </w:rPr>
              <w:t>ALL will provide resources – Amy, Rebecca, and Cheryl will organize</w:t>
            </w:r>
          </w:p>
        </w:tc>
        <w:tc>
          <w:tcPr>
            <w:tcW w:w="1530" w:type="dxa"/>
          </w:tcPr>
          <w:p w:rsidR="00471048" w:rsidRPr="004E4DE2" w:rsidRDefault="00471048" w:rsidP="00471048">
            <w:pPr>
              <w:rPr>
                <w:rFonts w:asciiTheme="minorHAnsi" w:hAnsiTheme="minorHAnsi"/>
                <w:sz w:val="20"/>
                <w:szCs w:val="20"/>
              </w:rPr>
            </w:pPr>
            <w:r w:rsidRPr="004E4DE2">
              <w:rPr>
                <w:rFonts w:asciiTheme="minorHAnsi" w:hAnsiTheme="minorHAnsi"/>
                <w:sz w:val="20"/>
                <w:szCs w:val="20"/>
              </w:rPr>
              <w:t>-Used by ISDs around state</w:t>
            </w:r>
          </w:p>
          <w:p w:rsidR="00471048" w:rsidRPr="004E4DE2" w:rsidRDefault="00471048" w:rsidP="00471048">
            <w:pPr>
              <w:rPr>
                <w:rFonts w:asciiTheme="minorHAnsi" w:hAnsiTheme="minorHAnsi"/>
                <w:sz w:val="20"/>
                <w:szCs w:val="20"/>
              </w:rPr>
            </w:pPr>
            <w:r w:rsidRPr="004E4DE2">
              <w:rPr>
                <w:rFonts w:asciiTheme="minorHAnsi" w:hAnsiTheme="minorHAnsi"/>
                <w:sz w:val="20"/>
                <w:szCs w:val="20"/>
              </w:rPr>
              <w:t>-feedback from ISDs around state</w:t>
            </w:r>
          </w:p>
          <w:p w:rsidR="00471048" w:rsidRPr="004E4DE2" w:rsidRDefault="00471048" w:rsidP="00A60873">
            <w:pPr>
              <w:rPr>
                <w:rFonts w:asciiTheme="minorHAnsi" w:hAnsiTheme="minorHAnsi"/>
                <w:sz w:val="20"/>
                <w:szCs w:val="20"/>
              </w:rPr>
            </w:pPr>
          </w:p>
        </w:tc>
        <w:tc>
          <w:tcPr>
            <w:tcW w:w="1200" w:type="dxa"/>
          </w:tcPr>
          <w:p w:rsidR="00471048" w:rsidRPr="004E4DE2" w:rsidRDefault="00471048" w:rsidP="00A60873">
            <w:pPr>
              <w:rPr>
                <w:rFonts w:asciiTheme="minorHAnsi" w:hAnsiTheme="minorHAnsi"/>
                <w:sz w:val="20"/>
                <w:szCs w:val="20"/>
              </w:rPr>
            </w:pPr>
            <w:r w:rsidRPr="004E4DE2">
              <w:rPr>
                <w:rFonts w:asciiTheme="minorHAnsi" w:hAnsiTheme="minorHAnsi"/>
                <w:sz w:val="20"/>
                <w:szCs w:val="20"/>
              </w:rPr>
              <w:t>Data brought to NMLC group compiled electronically</w:t>
            </w:r>
          </w:p>
        </w:tc>
        <w:tc>
          <w:tcPr>
            <w:tcW w:w="1980" w:type="dxa"/>
          </w:tcPr>
          <w:p w:rsidR="00471048" w:rsidRPr="004E4DE2" w:rsidRDefault="00471048" w:rsidP="00A60873">
            <w:pPr>
              <w:rPr>
                <w:color w:val="FF0000"/>
                <w:sz w:val="20"/>
                <w:szCs w:val="20"/>
              </w:rPr>
            </w:pPr>
          </w:p>
        </w:tc>
      </w:tr>
      <w:tr w:rsidR="00471048" w:rsidTr="00A60873">
        <w:trPr>
          <w:cantSplit/>
          <w:trHeight w:val="1880"/>
        </w:trPr>
        <w:tc>
          <w:tcPr>
            <w:tcW w:w="2178" w:type="dxa"/>
            <w:vMerge/>
          </w:tcPr>
          <w:p w:rsidR="00471048" w:rsidRPr="004E4DE2" w:rsidRDefault="00471048" w:rsidP="00A60873">
            <w:pPr>
              <w:rPr>
                <w:i/>
                <w:sz w:val="20"/>
                <w:szCs w:val="20"/>
              </w:rPr>
            </w:pPr>
          </w:p>
        </w:tc>
        <w:tc>
          <w:tcPr>
            <w:tcW w:w="2610" w:type="dxa"/>
          </w:tcPr>
          <w:p w:rsidR="00471048" w:rsidRPr="004E4DE2" w:rsidRDefault="00471048" w:rsidP="00471048">
            <w:pPr>
              <w:spacing w:before="100" w:beforeAutospacing="1" w:after="100" w:afterAutospacing="1"/>
              <w:rPr>
                <w:rFonts w:asciiTheme="minorHAnsi" w:hAnsiTheme="minorHAnsi"/>
                <w:i/>
                <w:sz w:val="20"/>
                <w:szCs w:val="20"/>
              </w:rPr>
            </w:pPr>
            <w:r w:rsidRPr="004E4DE2">
              <w:rPr>
                <w:rFonts w:asciiTheme="minorHAnsi" w:hAnsiTheme="minorHAnsi"/>
                <w:i/>
                <w:sz w:val="20"/>
                <w:szCs w:val="20"/>
              </w:rPr>
              <w:t xml:space="preserve">Compile resources to support professional development and implementation of CCRS based SBAC Claim 1: Students can read closely and analytically to comprehend a range of increasingly complex literary and informational texts. </w:t>
            </w:r>
          </w:p>
          <w:p w:rsidR="00471048" w:rsidRPr="004E4DE2" w:rsidRDefault="00471048" w:rsidP="00471048">
            <w:pPr>
              <w:rPr>
                <w:rFonts w:asciiTheme="minorHAnsi" w:hAnsiTheme="minorHAnsi"/>
                <w:i/>
                <w:sz w:val="20"/>
                <w:szCs w:val="20"/>
              </w:rPr>
            </w:pPr>
          </w:p>
        </w:tc>
        <w:tc>
          <w:tcPr>
            <w:tcW w:w="1440" w:type="dxa"/>
          </w:tcPr>
          <w:p w:rsidR="00471048" w:rsidRPr="004E4DE2" w:rsidRDefault="0041576B" w:rsidP="00A60873">
            <w:pPr>
              <w:rPr>
                <w:rFonts w:asciiTheme="minorHAnsi" w:hAnsiTheme="minorHAnsi"/>
                <w:sz w:val="20"/>
                <w:szCs w:val="20"/>
              </w:rPr>
            </w:pPr>
            <w:r w:rsidRPr="004E4DE2">
              <w:rPr>
                <w:rFonts w:asciiTheme="minorHAnsi" w:hAnsiTheme="minorHAnsi"/>
                <w:sz w:val="20"/>
                <w:szCs w:val="20"/>
              </w:rPr>
              <w:t>Claim 1 Toolkit</w:t>
            </w:r>
          </w:p>
        </w:tc>
        <w:tc>
          <w:tcPr>
            <w:tcW w:w="1320" w:type="dxa"/>
          </w:tcPr>
          <w:p w:rsidR="00471048" w:rsidRPr="004E4DE2" w:rsidRDefault="0041576B" w:rsidP="0041576B">
            <w:pPr>
              <w:rPr>
                <w:rFonts w:asciiTheme="minorHAnsi" w:hAnsiTheme="minorHAnsi"/>
                <w:sz w:val="20"/>
                <w:szCs w:val="20"/>
              </w:rPr>
            </w:pPr>
            <w:r w:rsidRPr="004E4DE2">
              <w:rPr>
                <w:rFonts w:asciiTheme="minorHAnsi" w:hAnsiTheme="minorHAnsi"/>
                <w:sz w:val="20"/>
                <w:szCs w:val="20"/>
              </w:rPr>
              <w:t>Research, compile, create and ORGANIZE resources to be available through our wiki and passed on to ISDs/Locals</w:t>
            </w:r>
          </w:p>
        </w:tc>
        <w:tc>
          <w:tcPr>
            <w:tcW w:w="1200" w:type="dxa"/>
          </w:tcPr>
          <w:p w:rsidR="00471048" w:rsidRPr="004E4DE2" w:rsidRDefault="00471048" w:rsidP="00A60873">
            <w:pPr>
              <w:rPr>
                <w:rFonts w:asciiTheme="minorHAnsi" w:hAnsiTheme="minorHAnsi"/>
                <w:sz w:val="20"/>
                <w:szCs w:val="20"/>
              </w:rPr>
            </w:pPr>
            <w:r w:rsidRPr="004E4DE2">
              <w:rPr>
                <w:rFonts w:asciiTheme="minorHAnsi" w:hAnsiTheme="minorHAnsi"/>
                <w:sz w:val="20"/>
                <w:szCs w:val="20"/>
              </w:rPr>
              <w:t>By May 2013</w:t>
            </w:r>
          </w:p>
        </w:tc>
        <w:tc>
          <w:tcPr>
            <w:tcW w:w="1440" w:type="dxa"/>
          </w:tcPr>
          <w:p w:rsidR="00471048" w:rsidRPr="004E4DE2" w:rsidRDefault="0041576B" w:rsidP="0041576B">
            <w:pPr>
              <w:rPr>
                <w:rFonts w:asciiTheme="minorHAnsi" w:hAnsiTheme="minorHAnsi"/>
                <w:sz w:val="20"/>
                <w:szCs w:val="20"/>
              </w:rPr>
            </w:pPr>
            <w:r w:rsidRPr="004E4DE2">
              <w:rPr>
                <w:rFonts w:asciiTheme="minorHAnsi" w:hAnsiTheme="minorHAnsi"/>
                <w:sz w:val="20"/>
                <w:szCs w:val="20"/>
              </w:rPr>
              <w:t>Amy, Andrea, Ashley, Rebecca, Betty</w:t>
            </w:r>
          </w:p>
        </w:tc>
        <w:tc>
          <w:tcPr>
            <w:tcW w:w="1530" w:type="dxa"/>
          </w:tcPr>
          <w:p w:rsidR="00471048" w:rsidRPr="004E4DE2" w:rsidRDefault="00471048" w:rsidP="00471048">
            <w:pPr>
              <w:rPr>
                <w:rFonts w:asciiTheme="minorHAnsi" w:hAnsiTheme="minorHAnsi"/>
                <w:sz w:val="20"/>
                <w:szCs w:val="20"/>
              </w:rPr>
            </w:pPr>
            <w:r w:rsidRPr="004E4DE2">
              <w:rPr>
                <w:rFonts w:asciiTheme="minorHAnsi" w:hAnsiTheme="minorHAnsi"/>
                <w:sz w:val="20"/>
                <w:szCs w:val="20"/>
              </w:rPr>
              <w:t>-Used by ISDs around state</w:t>
            </w:r>
          </w:p>
          <w:p w:rsidR="00471048" w:rsidRPr="004E4DE2" w:rsidRDefault="00471048" w:rsidP="00471048">
            <w:pPr>
              <w:rPr>
                <w:rFonts w:asciiTheme="minorHAnsi" w:hAnsiTheme="minorHAnsi"/>
                <w:sz w:val="20"/>
                <w:szCs w:val="20"/>
              </w:rPr>
            </w:pPr>
            <w:r w:rsidRPr="004E4DE2">
              <w:rPr>
                <w:rFonts w:asciiTheme="minorHAnsi" w:hAnsiTheme="minorHAnsi"/>
                <w:sz w:val="20"/>
                <w:szCs w:val="20"/>
              </w:rPr>
              <w:t>-feedback from ISDs around state</w:t>
            </w:r>
          </w:p>
          <w:p w:rsidR="00471048" w:rsidRPr="004E4DE2" w:rsidRDefault="00471048" w:rsidP="00A60873">
            <w:pPr>
              <w:rPr>
                <w:rFonts w:asciiTheme="minorHAnsi" w:hAnsiTheme="minorHAnsi"/>
                <w:sz w:val="20"/>
                <w:szCs w:val="20"/>
              </w:rPr>
            </w:pPr>
          </w:p>
        </w:tc>
        <w:tc>
          <w:tcPr>
            <w:tcW w:w="1200" w:type="dxa"/>
          </w:tcPr>
          <w:p w:rsidR="00471048" w:rsidRPr="004E4DE2" w:rsidRDefault="00471048" w:rsidP="00A60873">
            <w:pPr>
              <w:rPr>
                <w:rFonts w:asciiTheme="minorHAnsi" w:hAnsiTheme="minorHAnsi"/>
                <w:sz w:val="20"/>
                <w:szCs w:val="20"/>
              </w:rPr>
            </w:pPr>
            <w:r w:rsidRPr="004E4DE2">
              <w:rPr>
                <w:rFonts w:asciiTheme="minorHAnsi" w:hAnsiTheme="minorHAnsi"/>
                <w:sz w:val="20"/>
                <w:szCs w:val="20"/>
              </w:rPr>
              <w:t>Data brought to NMLC group compiled electronically</w:t>
            </w:r>
          </w:p>
        </w:tc>
        <w:tc>
          <w:tcPr>
            <w:tcW w:w="1980" w:type="dxa"/>
          </w:tcPr>
          <w:p w:rsidR="00471048" w:rsidRPr="004E4DE2" w:rsidRDefault="00471048" w:rsidP="00A60873">
            <w:pPr>
              <w:rPr>
                <w:color w:val="FF0000"/>
                <w:sz w:val="20"/>
                <w:szCs w:val="20"/>
              </w:rPr>
            </w:pPr>
          </w:p>
        </w:tc>
      </w:tr>
      <w:tr w:rsidR="00471048" w:rsidTr="00A60873">
        <w:trPr>
          <w:cantSplit/>
          <w:trHeight w:val="1880"/>
        </w:trPr>
        <w:tc>
          <w:tcPr>
            <w:tcW w:w="2178" w:type="dxa"/>
            <w:vMerge/>
          </w:tcPr>
          <w:p w:rsidR="00471048" w:rsidRPr="004E4DE2" w:rsidRDefault="00471048" w:rsidP="00A60873">
            <w:pPr>
              <w:rPr>
                <w:i/>
                <w:sz w:val="20"/>
                <w:szCs w:val="20"/>
              </w:rPr>
            </w:pPr>
          </w:p>
        </w:tc>
        <w:tc>
          <w:tcPr>
            <w:tcW w:w="2610" w:type="dxa"/>
          </w:tcPr>
          <w:p w:rsidR="00471048" w:rsidRPr="004E4DE2" w:rsidRDefault="00471048" w:rsidP="00471048">
            <w:pPr>
              <w:spacing w:before="100" w:beforeAutospacing="1" w:after="100" w:afterAutospacing="1"/>
              <w:rPr>
                <w:rFonts w:asciiTheme="minorHAnsi" w:hAnsiTheme="minorHAnsi"/>
                <w:i/>
                <w:sz w:val="20"/>
                <w:szCs w:val="20"/>
              </w:rPr>
            </w:pPr>
            <w:r w:rsidRPr="004E4DE2">
              <w:rPr>
                <w:rFonts w:asciiTheme="minorHAnsi" w:hAnsiTheme="minorHAnsi"/>
                <w:i/>
                <w:sz w:val="20"/>
                <w:szCs w:val="20"/>
              </w:rPr>
              <w:t xml:space="preserve">Compile resources to support professional development and implementation of CCRS based on SBAC Claim 2: Students can produce effective and well-grounded writing for a range of purposes and audiences. </w:t>
            </w:r>
          </w:p>
          <w:p w:rsidR="00471048" w:rsidRPr="004E4DE2" w:rsidRDefault="00471048" w:rsidP="00471048">
            <w:pPr>
              <w:rPr>
                <w:i/>
                <w:sz w:val="20"/>
                <w:szCs w:val="20"/>
              </w:rPr>
            </w:pPr>
          </w:p>
        </w:tc>
        <w:tc>
          <w:tcPr>
            <w:tcW w:w="1440" w:type="dxa"/>
          </w:tcPr>
          <w:p w:rsidR="00471048" w:rsidRPr="004E4DE2" w:rsidRDefault="0041576B" w:rsidP="00471048">
            <w:pPr>
              <w:rPr>
                <w:rFonts w:asciiTheme="minorHAnsi" w:hAnsiTheme="minorHAnsi"/>
                <w:sz w:val="20"/>
                <w:szCs w:val="20"/>
              </w:rPr>
            </w:pPr>
            <w:r w:rsidRPr="004E4DE2">
              <w:rPr>
                <w:rFonts w:asciiTheme="minorHAnsi" w:hAnsiTheme="minorHAnsi"/>
                <w:sz w:val="20"/>
                <w:szCs w:val="20"/>
              </w:rPr>
              <w:t>Claim 2 Toolkit</w:t>
            </w:r>
          </w:p>
        </w:tc>
        <w:tc>
          <w:tcPr>
            <w:tcW w:w="1320" w:type="dxa"/>
          </w:tcPr>
          <w:p w:rsidR="00471048" w:rsidRPr="004E4DE2" w:rsidRDefault="0041576B" w:rsidP="0041576B">
            <w:pPr>
              <w:rPr>
                <w:rFonts w:asciiTheme="minorHAnsi" w:hAnsiTheme="minorHAnsi"/>
                <w:color w:val="FF0000"/>
                <w:sz w:val="20"/>
                <w:szCs w:val="20"/>
              </w:rPr>
            </w:pPr>
            <w:r w:rsidRPr="004E4DE2">
              <w:rPr>
                <w:rFonts w:asciiTheme="minorHAnsi" w:hAnsiTheme="minorHAnsi"/>
                <w:sz w:val="20"/>
                <w:szCs w:val="20"/>
              </w:rPr>
              <w:t>Research, compile, create and ORGANIZE resources to be available through our wiki and passed on to ISDs/Locals</w:t>
            </w:r>
          </w:p>
        </w:tc>
        <w:tc>
          <w:tcPr>
            <w:tcW w:w="1200" w:type="dxa"/>
          </w:tcPr>
          <w:p w:rsidR="00471048" w:rsidRPr="004E4DE2" w:rsidRDefault="00471048" w:rsidP="00A60873">
            <w:pPr>
              <w:rPr>
                <w:rFonts w:asciiTheme="minorHAnsi" w:hAnsiTheme="minorHAnsi"/>
                <w:color w:val="FF0000"/>
                <w:sz w:val="20"/>
                <w:szCs w:val="20"/>
              </w:rPr>
            </w:pPr>
            <w:r w:rsidRPr="004E4DE2">
              <w:rPr>
                <w:rFonts w:asciiTheme="minorHAnsi" w:hAnsiTheme="minorHAnsi"/>
                <w:sz w:val="20"/>
                <w:szCs w:val="20"/>
              </w:rPr>
              <w:t>By May 2013</w:t>
            </w:r>
          </w:p>
        </w:tc>
        <w:tc>
          <w:tcPr>
            <w:tcW w:w="1440" w:type="dxa"/>
          </w:tcPr>
          <w:p w:rsidR="00471048" w:rsidRPr="004E4DE2" w:rsidRDefault="0041576B" w:rsidP="00A60873">
            <w:pPr>
              <w:rPr>
                <w:rFonts w:asciiTheme="minorHAnsi" w:hAnsiTheme="minorHAnsi"/>
                <w:sz w:val="20"/>
                <w:szCs w:val="20"/>
              </w:rPr>
            </w:pPr>
            <w:r w:rsidRPr="004E4DE2">
              <w:rPr>
                <w:rFonts w:asciiTheme="minorHAnsi" w:hAnsiTheme="minorHAnsi"/>
                <w:sz w:val="20"/>
                <w:szCs w:val="20"/>
              </w:rPr>
              <w:t xml:space="preserve">Cheryl, </w:t>
            </w:r>
          </w:p>
          <w:p w:rsidR="0041576B" w:rsidRPr="004E4DE2" w:rsidRDefault="0041576B" w:rsidP="00A60873">
            <w:pPr>
              <w:rPr>
                <w:rFonts w:asciiTheme="minorHAnsi" w:hAnsiTheme="minorHAnsi"/>
                <w:sz w:val="20"/>
                <w:szCs w:val="20"/>
              </w:rPr>
            </w:pPr>
            <w:r w:rsidRPr="004E4DE2">
              <w:rPr>
                <w:rFonts w:asciiTheme="minorHAnsi" w:hAnsiTheme="minorHAnsi"/>
                <w:sz w:val="20"/>
                <w:szCs w:val="20"/>
              </w:rPr>
              <w:t>Joyce, Bruce, Pam</w:t>
            </w:r>
          </w:p>
        </w:tc>
        <w:tc>
          <w:tcPr>
            <w:tcW w:w="1530" w:type="dxa"/>
          </w:tcPr>
          <w:p w:rsidR="00471048" w:rsidRPr="004E4DE2" w:rsidRDefault="00471048" w:rsidP="00471048">
            <w:pPr>
              <w:rPr>
                <w:rFonts w:asciiTheme="minorHAnsi" w:hAnsiTheme="minorHAnsi"/>
                <w:sz w:val="20"/>
                <w:szCs w:val="20"/>
              </w:rPr>
            </w:pPr>
            <w:r w:rsidRPr="004E4DE2">
              <w:rPr>
                <w:rFonts w:asciiTheme="minorHAnsi" w:hAnsiTheme="minorHAnsi"/>
                <w:sz w:val="20"/>
                <w:szCs w:val="20"/>
              </w:rPr>
              <w:t>-Used by ISDs around state</w:t>
            </w:r>
          </w:p>
          <w:p w:rsidR="00471048" w:rsidRPr="004E4DE2" w:rsidRDefault="00471048" w:rsidP="00471048">
            <w:pPr>
              <w:rPr>
                <w:rFonts w:asciiTheme="minorHAnsi" w:hAnsiTheme="minorHAnsi"/>
                <w:sz w:val="20"/>
                <w:szCs w:val="20"/>
              </w:rPr>
            </w:pPr>
            <w:r w:rsidRPr="004E4DE2">
              <w:rPr>
                <w:rFonts w:asciiTheme="minorHAnsi" w:hAnsiTheme="minorHAnsi"/>
                <w:sz w:val="20"/>
                <w:szCs w:val="20"/>
              </w:rPr>
              <w:t>-feedback from ISDs around state</w:t>
            </w:r>
          </w:p>
          <w:p w:rsidR="00471048" w:rsidRPr="004E4DE2" w:rsidRDefault="00471048" w:rsidP="00A60873">
            <w:pPr>
              <w:rPr>
                <w:rFonts w:asciiTheme="minorHAnsi" w:hAnsiTheme="minorHAnsi"/>
                <w:sz w:val="20"/>
                <w:szCs w:val="20"/>
              </w:rPr>
            </w:pPr>
          </w:p>
        </w:tc>
        <w:tc>
          <w:tcPr>
            <w:tcW w:w="1200" w:type="dxa"/>
          </w:tcPr>
          <w:p w:rsidR="00471048" w:rsidRPr="004E4DE2" w:rsidRDefault="00471048" w:rsidP="00A60873">
            <w:pPr>
              <w:rPr>
                <w:rFonts w:asciiTheme="minorHAnsi" w:hAnsiTheme="minorHAnsi"/>
                <w:sz w:val="20"/>
                <w:szCs w:val="20"/>
              </w:rPr>
            </w:pPr>
            <w:r w:rsidRPr="004E4DE2">
              <w:rPr>
                <w:rFonts w:asciiTheme="minorHAnsi" w:hAnsiTheme="minorHAnsi"/>
                <w:sz w:val="20"/>
                <w:szCs w:val="20"/>
              </w:rPr>
              <w:t>Data brought to NMLC group compiled electronically</w:t>
            </w:r>
          </w:p>
        </w:tc>
        <w:tc>
          <w:tcPr>
            <w:tcW w:w="1980" w:type="dxa"/>
          </w:tcPr>
          <w:p w:rsidR="00471048" w:rsidRPr="004E4DE2" w:rsidRDefault="00471048" w:rsidP="00A60873">
            <w:pPr>
              <w:rPr>
                <w:color w:val="FF0000"/>
                <w:sz w:val="20"/>
                <w:szCs w:val="20"/>
              </w:rPr>
            </w:pPr>
          </w:p>
        </w:tc>
      </w:tr>
    </w:tbl>
    <w:p w:rsidR="004E4DE2" w:rsidRDefault="004E4DE2"/>
    <w:p w:rsidR="004E4DE2" w:rsidRDefault="004E4DE2"/>
    <w:p w:rsidR="004E4DE2" w:rsidRDefault="004E4DE2"/>
    <w:p w:rsidR="00471048" w:rsidRDefault="00471048">
      <w:r>
        <w:t>Considerations when creating our action plan:</w:t>
      </w:r>
    </w:p>
    <w:p w:rsidR="00471048" w:rsidRDefault="00471048"/>
    <w:p w:rsidR="009D5CB2" w:rsidRDefault="00471048">
      <w:r>
        <w:t>Based on the data we understand that our students do not do an adequate job of close and critical reading which in turn impacts their writing.</w:t>
      </w:r>
    </w:p>
    <w:p w:rsidR="00471048" w:rsidRDefault="00471048"/>
    <w:p w:rsidR="00471048" w:rsidRDefault="00471048">
      <w:r>
        <w:t>Data shows that we are doing OK in reading, however this is based on MEAP and we KNOW that the MEAP is not good enough when we consider preparing students for SBAC.</w:t>
      </w:r>
    </w:p>
    <w:p w:rsidR="00471048" w:rsidRDefault="00471048"/>
    <w:p w:rsidR="00471048" w:rsidRDefault="00471048">
      <w:r>
        <w:t>Modeling is too often missed!</w:t>
      </w:r>
    </w:p>
    <w:p w:rsidR="00471048" w:rsidRDefault="00471048"/>
    <w:p w:rsidR="00471048" w:rsidRDefault="00471048">
      <w:r>
        <w:t>The instruction piece we need to hit hard is the scaffolding – I do, we do, you do together, you do alone.</w:t>
      </w:r>
    </w:p>
    <w:p w:rsidR="0041576B" w:rsidRDefault="0041576B"/>
    <w:p w:rsidR="0041576B" w:rsidRDefault="0041576B">
      <w:r>
        <w:t>Toolkits to contain:</w:t>
      </w:r>
    </w:p>
    <w:p w:rsidR="0041576B" w:rsidRDefault="0041576B" w:rsidP="0041576B">
      <w:pPr>
        <w:pStyle w:val="ListParagraph"/>
        <w:numPr>
          <w:ilvl w:val="1"/>
          <w:numId w:val="7"/>
        </w:numPr>
      </w:pPr>
      <w:r>
        <w:t>Resources for Facilitators:</w:t>
      </w:r>
    </w:p>
    <w:p w:rsidR="0041576B" w:rsidRDefault="0041576B" w:rsidP="0041576B">
      <w:pPr>
        <w:pStyle w:val="ListParagraph"/>
        <w:numPr>
          <w:ilvl w:val="2"/>
          <w:numId w:val="7"/>
        </w:numPr>
      </w:pPr>
      <w:r>
        <w:t>Some form of presentation</w:t>
      </w:r>
    </w:p>
    <w:p w:rsidR="0041576B" w:rsidRDefault="0041576B" w:rsidP="0041576B">
      <w:pPr>
        <w:pStyle w:val="ListParagraph"/>
        <w:numPr>
          <w:ilvl w:val="2"/>
          <w:numId w:val="7"/>
        </w:numPr>
      </w:pPr>
      <w:r>
        <w:t>Facilitator Notes</w:t>
      </w:r>
      <w:r w:rsidRPr="0041576B">
        <w:t xml:space="preserve"> </w:t>
      </w:r>
    </w:p>
    <w:p w:rsidR="0041576B" w:rsidRDefault="0041576B" w:rsidP="0041576B">
      <w:pPr>
        <w:pStyle w:val="ListParagraph"/>
        <w:numPr>
          <w:ilvl w:val="1"/>
          <w:numId w:val="7"/>
        </w:numPr>
      </w:pPr>
      <w:r>
        <w:t>Open source for teachers</w:t>
      </w:r>
    </w:p>
    <w:p w:rsidR="0041576B" w:rsidRDefault="0041576B" w:rsidP="0041576B"/>
    <w:p w:rsidR="0041576B" w:rsidRDefault="0041576B" w:rsidP="0041576B">
      <w:r>
        <w:t>Common Coding for CCRS</w:t>
      </w:r>
      <w:r w:rsidR="004E4DE2">
        <w:t xml:space="preserve"> –</w:t>
      </w:r>
      <w:r w:rsidR="00160B72">
        <w:t xml:space="preserve"> </w:t>
      </w:r>
      <w:hyperlink r:id="rId11" w:history="1">
        <w:r w:rsidR="00160B72" w:rsidRPr="00A03FB4">
          <w:rPr>
            <w:rStyle w:val="Hyperlink"/>
          </w:rPr>
          <w:t>http://www.uen.org/commoncore/downloads/ela_code.pdf</w:t>
        </w:r>
      </w:hyperlink>
      <w:r w:rsidR="00160B72">
        <w:t xml:space="preserve">  (Four slides outlining the CCRS Coding)</w:t>
      </w:r>
    </w:p>
    <w:p w:rsidR="00160B72" w:rsidRDefault="00160B72" w:rsidP="0041576B"/>
    <w:p w:rsidR="0041576B" w:rsidRDefault="0041576B"/>
    <w:sectPr w:rsidR="0041576B" w:rsidSect="004E4DE2">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270" w:left="1440" w:header="45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AAD" w:rsidRDefault="005B6AAD" w:rsidP="004E4DE2">
      <w:r>
        <w:separator/>
      </w:r>
    </w:p>
  </w:endnote>
  <w:endnote w:type="continuationSeparator" w:id="0">
    <w:p w:rsidR="005B6AAD" w:rsidRDefault="005B6AAD" w:rsidP="004E4D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DE2" w:rsidRDefault="004E4D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DE2" w:rsidRDefault="004E4DE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DE2" w:rsidRDefault="004E4D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AAD" w:rsidRDefault="005B6AAD" w:rsidP="004E4DE2">
      <w:r>
        <w:separator/>
      </w:r>
    </w:p>
  </w:footnote>
  <w:footnote w:type="continuationSeparator" w:id="0">
    <w:p w:rsidR="005B6AAD" w:rsidRDefault="005B6AAD" w:rsidP="004E4D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DE2" w:rsidRDefault="004E4D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DE2" w:rsidRPr="009A5A8B" w:rsidRDefault="004E4DE2" w:rsidP="004E4DE2">
    <w:pPr>
      <w:jc w:val="center"/>
      <w:rPr>
        <w:rFonts w:ascii="Rockwell" w:hAnsi="Rockwell"/>
        <w:u w:val="single"/>
      </w:rPr>
    </w:pPr>
    <w:r>
      <w:rPr>
        <w:rFonts w:ascii="Rockwell" w:hAnsi="Rockwell"/>
        <w:b/>
        <w:sz w:val="32"/>
        <w:szCs w:val="32"/>
        <w:u w:val="single"/>
      </w:rPr>
      <w:t xml:space="preserve">ELA Team Action Form </w:t>
    </w:r>
  </w:p>
  <w:p w:rsidR="004E4DE2" w:rsidRPr="004E4DE2" w:rsidRDefault="004E4DE2" w:rsidP="004E4DE2">
    <w:pPr>
      <w:pBdr>
        <w:bottom w:val="single" w:sz="6" w:space="1" w:color="auto"/>
      </w:pBdr>
    </w:pPr>
    <w:r w:rsidRPr="004E4DE2">
      <w:t xml:space="preserve">Meeting Date:  </w:t>
    </w:r>
    <w:r>
      <w:t>October 8, 2012</w:t>
    </w:r>
  </w:p>
  <w:p w:rsidR="004E4DE2" w:rsidRDefault="004E4DE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DE2" w:rsidRDefault="004E4D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834AB"/>
    <w:multiLevelType w:val="hybridMultilevel"/>
    <w:tmpl w:val="2D34A88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DBE2D3B"/>
    <w:multiLevelType w:val="hybridMultilevel"/>
    <w:tmpl w:val="1AE64AC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5C811C4"/>
    <w:multiLevelType w:val="hybridMultilevel"/>
    <w:tmpl w:val="A0486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6F1007"/>
    <w:multiLevelType w:val="hybridMultilevel"/>
    <w:tmpl w:val="C5FA8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947336"/>
    <w:multiLevelType w:val="hybridMultilevel"/>
    <w:tmpl w:val="AEF22F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165036"/>
    <w:multiLevelType w:val="hybridMultilevel"/>
    <w:tmpl w:val="C136B7F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66474CA"/>
    <w:multiLevelType w:val="hybridMultilevel"/>
    <w:tmpl w:val="A19E9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5"/>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471048"/>
    <w:rsid w:val="00035750"/>
    <w:rsid w:val="00160B72"/>
    <w:rsid w:val="002737B7"/>
    <w:rsid w:val="0041576B"/>
    <w:rsid w:val="00471048"/>
    <w:rsid w:val="004E4DE2"/>
    <w:rsid w:val="005B6AAD"/>
    <w:rsid w:val="007E7BD6"/>
    <w:rsid w:val="008D4880"/>
    <w:rsid w:val="00967507"/>
    <w:rsid w:val="009D5CB2"/>
    <w:rsid w:val="00C02FA5"/>
    <w:rsid w:val="00D45AFC"/>
    <w:rsid w:val="00ED1DC5"/>
    <w:rsid w:val="00F53A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0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048"/>
    <w:pPr>
      <w:ind w:left="720"/>
      <w:contextualSpacing/>
    </w:pPr>
  </w:style>
  <w:style w:type="paragraph" w:styleId="Header">
    <w:name w:val="header"/>
    <w:basedOn w:val="Normal"/>
    <w:link w:val="HeaderChar"/>
    <w:uiPriority w:val="99"/>
    <w:semiHidden/>
    <w:unhideWhenUsed/>
    <w:rsid w:val="004E4DE2"/>
    <w:pPr>
      <w:tabs>
        <w:tab w:val="center" w:pos="4680"/>
        <w:tab w:val="right" w:pos="9360"/>
      </w:tabs>
    </w:pPr>
  </w:style>
  <w:style w:type="character" w:customStyle="1" w:styleId="HeaderChar">
    <w:name w:val="Header Char"/>
    <w:basedOn w:val="DefaultParagraphFont"/>
    <w:link w:val="Header"/>
    <w:uiPriority w:val="99"/>
    <w:semiHidden/>
    <w:rsid w:val="004E4DE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4E4DE2"/>
    <w:pPr>
      <w:tabs>
        <w:tab w:val="center" w:pos="4680"/>
        <w:tab w:val="right" w:pos="9360"/>
      </w:tabs>
    </w:pPr>
  </w:style>
  <w:style w:type="character" w:customStyle="1" w:styleId="FooterChar">
    <w:name w:val="Footer Char"/>
    <w:basedOn w:val="DefaultParagraphFont"/>
    <w:link w:val="Footer"/>
    <w:uiPriority w:val="99"/>
    <w:semiHidden/>
    <w:rsid w:val="004E4DE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60B7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52814400">
      <w:bodyDiv w:val="1"/>
      <w:marLeft w:val="0"/>
      <w:marRight w:val="0"/>
      <w:marTop w:val="0"/>
      <w:marBottom w:val="0"/>
      <w:divBdr>
        <w:top w:val="none" w:sz="0" w:space="0" w:color="auto"/>
        <w:left w:val="none" w:sz="0" w:space="0" w:color="auto"/>
        <w:bottom w:val="none" w:sz="0" w:space="0" w:color="auto"/>
        <w:right w:val="none" w:sz="0" w:space="0" w:color="auto"/>
      </w:divBdr>
      <w:divsChild>
        <w:div w:id="389037548">
          <w:marLeft w:val="0"/>
          <w:marRight w:val="0"/>
          <w:marTop w:val="0"/>
          <w:marBottom w:val="0"/>
          <w:divBdr>
            <w:top w:val="none" w:sz="0" w:space="0" w:color="auto"/>
            <w:left w:val="none" w:sz="0" w:space="0" w:color="auto"/>
            <w:bottom w:val="none" w:sz="0" w:space="0" w:color="auto"/>
            <w:right w:val="none" w:sz="0" w:space="0" w:color="auto"/>
          </w:divBdr>
          <w:divsChild>
            <w:div w:id="2005814034">
              <w:marLeft w:val="0"/>
              <w:marRight w:val="0"/>
              <w:marTop w:val="0"/>
              <w:marBottom w:val="0"/>
              <w:divBdr>
                <w:top w:val="none" w:sz="0" w:space="0" w:color="auto"/>
                <w:left w:val="none" w:sz="0" w:space="0" w:color="auto"/>
                <w:bottom w:val="none" w:sz="0" w:space="0" w:color="auto"/>
                <w:right w:val="none" w:sz="0" w:space="0" w:color="auto"/>
              </w:divBdr>
              <w:divsChild>
                <w:div w:id="1631326199">
                  <w:marLeft w:val="0"/>
                  <w:marRight w:val="0"/>
                  <w:marTop w:val="0"/>
                  <w:marBottom w:val="0"/>
                  <w:divBdr>
                    <w:top w:val="none" w:sz="0" w:space="0" w:color="auto"/>
                    <w:left w:val="none" w:sz="0" w:space="0" w:color="auto"/>
                    <w:bottom w:val="none" w:sz="0" w:space="0" w:color="auto"/>
                    <w:right w:val="none" w:sz="0" w:space="0" w:color="auto"/>
                  </w:divBdr>
                  <w:divsChild>
                    <w:div w:id="2116318472">
                      <w:marLeft w:val="0"/>
                      <w:marRight w:val="0"/>
                      <w:marTop w:val="0"/>
                      <w:marBottom w:val="0"/>
                      <w:divBdr>
                        <w:top w:val="none" w:sz="0" w:space="0" w:color="auto"/>
                        <w:left w:val="none" w:sz="0" w:space="0" w:color="auto"/>
                        <w:bottom w:val="none" w:sz="0" w:space="0" w:color="auto"/>
                        <w:right w:val="none" w:sz="0" w:space="0" w:color="auto"/>
                      </w:divBdr>
                      <w:divsChild>
                        <w:div w:id="272177107">
                          <w:marLeft w:val="0"/>
                          <w:marRight w:val="0"/>
                          <w:marTop w:val="0"/>
                          <w:marBottom w:val="0"/>
                          <w:divBdr>
                            <w:top w:val="none" w:sz="0" w:space="0" w:color="auto"/>
                            <w:left w:val="none" w:sz="0" w:space="0" w:color="auto"/>
                            <w:bottom w:val="none" w:sz="0" w:space="0" w:color="auto"/>
                            <w:right w:val="none" w:sz="0" w:space="0" w:color="auto"/>
                          </w:divBdr>
                          <w:divsChild>
                            <w:div w:id="1959294364">
                              <w:marLeft w:val="0"/>
                              <w:marRight w:val="0"/>
                              <w:marTop w:val="0"/>
                              <w:marBottom w:val="0"/>
                              <w:divBdr>
                                <w:top w:val="none" w:sz="0" w:space="0" w:color="auto"/>
                                <w:left w:val="none" w:sz="0" w:space="0" w:color="auto"/>
                                <w:bottom w:val="none" w:sz="0" w:space="0" w:color="auto"/>
                                <w:right w:val="none" w:sz="0" w:space="0" w:color="auto"/>
                              </w:divBdr>
                              <w:divsChild>
                                <w:div w:id="1217622387">
                                  <w:marLeft w:val="0"/>
                                  <w:marRight w:val="0"/>
                                  <w:marTop w:val="0"/>
                                  <w:marBottom w:val="0"/>
                                  <w:divBdr>
                                    <w:top w:val="none" w:sz="0" w:space="0" w:color="auto"/>
                                    <w:left w:val="none" w:sz="0" w:space="0" w:color="auto"/>
                                    <w:bottom w:val="none" w:sz="0" w:space="0" w:color="auto"/>
                                    <w:right w:val="none" w:sz="0" w:space="0" w:color="auto"/>
                                  </w:divBdr>
                                  <w:divsChild>
                                    <w:div w:id="16269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7721415">
      <w:bodyDiv w:val="1"/>
      <w:marLeft w:val="0"/>
      <w:marRight w:val="0"/>
      <w:marTop w:val="0"/>
      <w:marBottom w:val="0"/>
      <w:divBdr>
        <w:top w:val="none" w:sz="0" w:space="0" w:color="auto"/>
        <w:left w:val="none" w:sz="0" w:space="0" w:color="auto"/>
        <w:bottom w:val="none" w:sz="0" w:space="0" w:color="auto"/>
        <w:right w:val="none" w:sz="0" w:space="0" w:color="auto"/>
      </w:divBdr>
      <w:divsChild>
        <w:div w:id="931474149">
          <w:marLeft w:val="0"/>
          <w:marRight w:val="0"/>
          <w:marTop w:val="0"/>
          <w:marBottom w:val="0"/>
          <w:divBdr>
            <w:top w:val="none" w:sz="0" w:space="0" w:color="auto"/>
            <w:left w:val="none" w:sz="0" w:space="0" w:color="auto"/>
            <w:bottom w:val="none" w:sz="0" w:space="0" w:color="auto"/>
            <w:right w:val="none" w:sz="0" w:space="0" w:color="auto"/>
          </w:divBdr>
          <w:divsChild>
            <w:div w:id="1803956435">
              <w:marLeft w:val="0"/>
              <w:marRight w:val="0"/>
              <w:marTop w:val="0"/>
              <w:marBottom w:val="0"/>
              <w:divBdr>
                <w:top w:val="none" w:sz="0" w:space="0" w:color="auto"/>
                <w:left w:val="none" w:sz="0" w:space="0" w:color="auto"/>
                <w:bottom w:val="none" w:sz="0" w:space="0" w:color="auto"/>
                <w:right w:val="none" w:sz="0" w:space="0" w:color="auto"/>
              </w:divBdr>
              <w:divsChild>
                <w:div w:id="1538354263">
                  <w:marLeft w:val="0"/>
                  <w:marRight w:val="0"/>
                  <w:marTop w:val="0"/>
                  <w:marBottom w:val="0"/>
                  <w:divBdr>
                    <w:top w:val="none" w:sz="0" w:space="0" w:color="auto"/>
                    <w:left w:val="none" w:sz="0" w:space="0" w:color="auto"/>
                    <w:bottom w:val="none" w:sz="0" w:space="0" w:color="auto"/>
                    <w:right w:val="none" w:sz="0" w:space="0" w:color="auto"/>
                  </w:divBdr>
                  <w:divsChild>
                    <w:div w:id="1700474338">
                      <w:marLeft w:val="0"/>
                      <w:marRight w:val="0"/>
                      <w:marTop w:val="0"/>
                      <w:marBottom w:val="0"/>
                      <w:divBdr>
                        <w:top w:val="none" w:sz="0" w:space="0" w:color="auto"/>
                        <w:left w:val="none" w:sz="0" w:space="0" w:color="auto"/>
                        <w:bottom w:val="none" w:sz="0" w:space="0" w:color="auto"/>
                        <w:right w:val="none" w:sz="0" w:space="0" w:color="auto"/>
                      </w:divBdr>
                      <w:divsChild>
                        <w:div w:id="1206142046">
                          <w:marLeft w:val="0"/>
                          <w:marRight w:val="0"/>
                          <w:marTop w:val="0"/>
                          <w:marBottom w:val="0"/>
                          <w:divBdr>
                            <w:top w:val="none" w:sz="0" w:space="0" w:color="auto"/>
                            <w:left w:val="none" w:sz="0" w:space="0" w:color="auto"/>
                            <w:bottom w:val="none" w:sz="0" w:space="0" w:color="auto"/>
                            <w:right w:val="none" w:sz="0" w:space="0" w:color="auto"/>
                          </w:divBdr>
                          <w:divsChild>
                            <w:div w:id="1304119373">
                              <w:marLeft w:val="0"/>
                              <w:marRight w:val="0"/>
                              <w:marTop w:val="0"/>
                              <w:marBottom w:val="0"/>
                              <w:divBdr>
                                <w:top w:val="none" w:sz="0" w:space="0" w:color="auto"/>
                                <w:left w:val="none" w:sz="0" w:space="0" w:color="auto"/>
                                <w:bottom w:val="none" w:sz="0" w:space="0" w:color="auto"/>
                                <w:right w:val="none" w:sz="0" w:space="0" w:color="auto"/>
                              </w:divBdr>
                              <w:divsChild>
                                <w:div w:id="1343242540">
                                  <w:marLeft w:val="0"/>
                                  <w:marRight w:val="0"/>
                                  <w:marTop w:val="0"/>
                                  <w:marBottom w:val="0"/>
                                  <w:divBdr>
                                    <w:top w:val="none" w:sz="0" w:space="0" w:color="auto"/>
                                    <w:left w:val="none" w:sz="0" w:space="0" w:color="auto"/>
                                    <w:bottom w:val="none" w:sz="0" w:space="0" w:color="auto"/>
                                    <w:right w:val="none" w:sz="0" w:space="0" w:color="auto"/>
                                  </w:divBdr>
                                  <w:divsChild>
                                    <w:div w:id="15718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en.org/commoncore/downloads/ela_code.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8a52bdb-c860-4c43-8276-96e92be99b65">TY5UKYSHNCJ3-1031-80</_dlc_DocId>
    <_dlc_DocIdUrl xmlns="98a52bdb-c860-4c43-8276-96e92be99b65">
      <Url>http://web.wmisd.org/nmlc/team/_layouts/DocIdRedir.aspx?ID=TY5UKYSHNCJ3-1031-80</Url>
      <Description>TY5UKYSHNCJ3-1031-80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DAA01E973B8EE4C8A345560BA54F32A" ma:contentTypeVersion="1" ma:contentTypeDescription="Create a new document." ma:contentTypeScope="" ma:versionID="476c1f5fe41033c5b2396db5bf5ab110">
  <xsd:schema xmlns:xsd="http://www.w3.org/2001/XMLSchema" xmlns:xs="http://www.w3.org/2001/XMLSchema" xmlns:p="http://schemas.microsoft.com/office/2006/metadata/properties" xmlns:ns2="98a52bdb-c860-4c43-8276-96e92be99b65" targetNamespace="http://schemas.microsoft.com/office/2006/metadata/properties" ma:root="true" ma:fieldsID="75385aef3fb7ca86d4a085c14af207c2" ns2:_="">
    <xsd:import namespace="98a52bdb-c860-4c43-8276-96e92be99b6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a52bdb-c860-4c43-8276-96e92be99b6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085220-F2FE-4A91-8E6D-1DDC0D5652FA}">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98a52bdb-c860-4c43-8276-96e92be99b65"/>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4D142896-AF50-4CCB-B162-D9B511B02AC3}">
  <ds:schemaRefs>
    <ds:schemaRef ds:uri="http://schemas.microsoft.com/sharepoint/v3/contenttype/forms"/>
  </ds:schemaRefs>
</ds:datastoreItem>
</file>

<file path=customXml/itemProps3.xml><?xml version="1.0" encoding="utf-8"?>
<ds:datastoreItem xmlns:ds="http://schemas.openxmlformats.org/officeDocument/2006/customXml" ds:itemID="{305768C5-7CA4-4C60-BE36-72811C9A4173}">
  <ds:schemaRefs>
    <ds:schemaRef ds:uri="http://schemas.microsoft.com/sharepoint/events"/>
  </ds:schemaRefs>
</ds:datastoreItem>
</file>

<file path=customXml/itemProps4.xml><?xml version="1.0" encoding="utf-8"?>
<ds:datastoreItem xmlns:ds="http://schemas.openxmlformats.org/officeDocument/2006/customXml" ds:itemID="{33304337-9CF6-4899-BB4C-8A74DA80D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a52bdb-c860-4c43-8276-96e92be99b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WMISD</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517wmisd</dc:creator>
  <cp:keywords/>
  <dc:description/>
  <cp:lastModifiedBy>517wmisd</cp:lastModifiedBy>
  <cp:revision>2</cp:revision>
  <dcterms:created xsi:type="dcterms:W3CDTF">2012-10-08T14:20:00Z</dcterms:created>
  <dcterms:modified xsi:type="dcterms:W3CDTF">2012-10-08T15:20:00Z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0x0101005DAA01E973B8EE4C8A345560BA54F32A</vt:lpwstr>
  </property>
  <property fmtid="{D5CDD505-2E9C-101B-9397-08002B2CF9AE}" pid="3" name="_dlc_DocIdItemGuid">
    <vt:lpwstr>c03f8ce1-8219-4309-98c9-e3b13d105a36</vt:lpwstr>
  </property>
</Properties>
</file>